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B3" w:rsidRPr="00C304DC" w:rsidRDefault="00B602B3" w:rsidP="00B60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</w:t>
      </w:r>
      <w:r w:rsidRPr="00C304DC">
        <w:rPr>
          <w:b/>
          <w:sz w:val="28"/>
          <w:szCs w:val="28"/>
        </w:rPr>
        <w:t>еречень краткой информации, раскрываемой эмитентом</w:t>
      </w:r>
    </w:p>
    <w:p w:rsidR="00B602B3" w:rsidRPr="00C304DC" w:rsidRDefault="00B602B3" w:rsidP="00B602B3">
      <w:pPr>
        <w:rPr>
          <w:b/>
          <w:sz w:val="28"/>
          <w:szCs w:val="28"/>
        </w:rPr>
      </w:pPr>
      <w:r w:rsidRPr="00C304D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</w:t>
      </w:r>
      <w:r w:rsidRPr="00C304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Pr="00C30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C304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20</w:t>
      </w:r>
      <w:r w:rsidR="009B31F8">
        <w:rPr>
          <w:b/>
          <w:sz w:val="28"/>
          <w:szCs w:val="28"/>
        </w:rPr>
        <w:t>2</w:t>
      </w:r>
      <w:r w:rsidR="00E415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06C43">
        <w:rPr>
          <w:b/>
          <w:sz w:val="28"/>
          <w:szCs w:val="28"/>
        </w:rPr>
        <w:t>год</w:t>
      </w:r>
      <w:r w:rsidRPr="00C304DC">
        <w:rPr>
          <w:b/>
          <w:sz w:val="28"/>
          <w:szCs w:val="28"/>
        </w:rPr>
        <w:t xml:space="preserve">. </w:t>
      </w:r>
    </w:p>
    <w:p w:rsidR="00B602B3" w:rsidRPr="00C304DC" w:rsidRDefault="00B602B3" w:rsidP="00B602B3">
      <w:pPr>
        <w:rPr>
          <w:b/>
          <w:sz w:val="28"/>
          <w:szCs w:val="28"/>
        </w:rPr>
      </w:pPr>
    </w:p>
    <w:p w:rsidR="00B602B3" w:rsidRPr="009C2437" w:rsidRDefault="00B602B3" w:rsidP="00B602B3">
      <w:pPr>
        <w:rPr>
          <w:b/>
          <w:sz w:val="28"/>
          <w:szCs w:val="28"/>
        </w:rPr>
      </w:pPr>
      <w:r w:rsidRPr="009C2437">
        <w:rPr>
          <w:b/>
          <w:sz w:val="28"/>
          <w:szCs w:val="28"/>
        </w:rPr>
        <w:t>Полное</w:t>
      </w:r>
      <w:r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наименование</w:t>
      </w:r>
      <w:r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эмитента</w:t>
      </w:r>
      <w:r>
        <w:rPr>
          <w:b/>
          <w:sz w:val="28"/>
          <w:szCs w:val="28"/>
        </w:rPr>
        <w:t xml:space="preserve">   Открытое  акционерное  общество Монтажное  управление  «Средазэнергомонтаж»</w:t>
      </w:r>
    </w:p>
    <w:p w:rsidR="00B602B3" w:rsidRPr="009C2437" w:rsidRDefault="00B602B3" w:rsidP="00B60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C2437">
        <w:rPr>
          <w:b/>
          <w:sz w:val="28"/>
          <w:szCs w:val="28"/>
        </w:rPr>
        <w:t>Общее сведение об эмитенте.</w:t>
      </w:r>
    </w:p>
    <w:p w:rsidR="00B602B3" w:rsidRDefault="00B602B3" w:rsidP="00B602B3">
      <w:pPr>
        <w:numPr>
          <w:ilvl w:val="1"/>
          <w:numId w:val="1"/>
        </w:numPr>
      </w:pPr>
      <w:r w:rsidRPr="00C97717">
        <w:t xml:space="preserve">Юридический и почтовый адреса: </w:t>
      </w:r>
      <w:proofErr w:type="spellStart"/>
      <w:r w:rsidRPr="00C97717">
        <w:t>Кыргызская</w:t>
      </w:r>
      <w:proofErr w:type="spellEnd"/>
      <w:r w:rsidRPr="00C97717">
        <w:t xml:space="preserve"> Республика, г</w:t>
      </w:r>
      <w:proofErr w:type="gramStart"/>
      <w:r w:rsidRPr="00C97717">
        <w:t>.Б</w:t>
      </w:r>
      <w:proofErr w:type="gramEnd"/>
      <w:r w:rsidRPr="00C97717">
        <w:t>ишкек, 720022, ул. Лермонтова 2; телефон 3</w:t>
      </w:r>
      <w:r>
        <w:t>6</w:t>
      </w:r>
      <w:r w:rsidRPr="00C97717">
        <w:t>-</w:t>
      </w:r>
      <w:r>
        <w:t>57</w:t>
      </w:r>
      <w:r w:rsidRPr="00C97717">
        <w:t>-4</w:t>
      </w:r>
      <w:r>
        <w:t>6</w:t>
      </w:r>
      <w:r w:rsidRPr="00C97717">
        <w:t xml:space="preserve">; телефакс 36-55-81; расчетный счет – 1091820103370130  в  ОАО « </w:t>
      </w:r>
      <w:proofErr w:type="spellStart"/>
      <w:r>
        <w:t>Оптима</w:t>
      </w:r>
      <w:proofErr w:type="spellEnd"/>
      <w:r>
        <w:t xml:space="preserve"> </w:t>
      </w:r>
      <w:r w:rsidRPr="00C97717">
        <w:t>Банке» г.Бишкек  БИК 109018</w:t>
      </w:r>
      <w:r>
        <w:t>;</w:t>
      </w:r>
    </w:p>
    <w:p w:rsidR="00B602B3" w:rsidRDefault="00B602B3" w:rsidP="00B602B3">
      <w:pPr>
        <w:ind w:left="1500"/>
      </w:pPr>
      <w:proofErr w:type="spellStart"/>
      <w:proofErr w:type="gramStart"/>
      <w:r>
        <w:t>р</w:t>
      </w:r>
      <w:proofErr w:type="spellEnd"/>
      <w:proofErr w:type="gramEnd"/>
      <w:r>
        <w:t>/ счет – 1299003131297233 в ОАО РСК Банке г. Бишкек, БИК 129001</w:t>
      </w:r>
      <w:r w:rsidR="00E41513">
        <w:t>;</w:t>
      </w:r>
    </w:p>
    <w:p w:rsidR="00E41513" w:rsidRPr="00E41513" w:rsidRDefault="00E41513" w:rsidP="00E41513">
      <w:pPr>
        <w:pStyle w:val="a8"/>
        <w:ind w:left="1560" w:hanging="15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  <w:proofErr w:type="spellStart"/>
      <w:proofErr w:type="gramStart"/>
      <w:r>
        <w:rPr>
          <w:b w:val="0"/>
          <w:sz w:val="24"/>
          <w:szCs w:val="24"/>
        </w:rPr>
        <w:t>р</w:t>
      </w:r>
      <w:proofErr w:type="spellEnd"/>
      <w:proofErr w:type="gramEnd"/>
      <w:r>
        <w:rPr>
          <w:b w:val="0"/>
          <w:sz w:val="24"/>
          <w:szCs w:val="24"/>
        </w:rPr>
        <w:t xml:space="preserve">/счет – 1110002000147447  в Филиал ЗАО Банк Азии «Банк Азии-         </w:t>
      </w:r>
      <w:proofErr w:type="spellStart"/>
      <w:r>
        <w:rPr>
          <w:b w:val="0"/>
          <w:sz w:val="24"/>
          <w:szCs w:val="24"/>
        </w:rPr>
        <w:t>Курулуш</w:t>
      </w:r>
      <w:proofErr w:type="spellEnd"/>
      <w:r>
        <w:rPr>
          <w:b w:val="0"/>
          <w:sz w:val="24"/>
          <w:szCs w:val="24"/>
        </w:rPr>
        <w:t>»,   БИК 111006.</w:t>
      </w:r>
    </w:p>
    <w:p w:rsidR="00B602B3" w:rsidRPr="00C97717" w:rsidRDefault="00B602B3" w:rsidP="00B602B3">
      <w:pPr>
        <w:numPr>
          <w:ilvl w:val="1"/>
          <w:numId w:val="1"/>
        </w:numPr>
      </w:pPr>
      <w:r w:rsidRPr="00C97717">
        <w:t>Вид деятельности: монтаж оборудования и трубопроводов ТЭЦ и промпредприятий:  изготовление металлоконструкций, трубопроводов и нестандартного оборудования промышленных  предприятий; ремонт оборудования ТЭЦ и промпредприятий</w:t>
      </w:r>
      <w:r>
        <w:t xml:space="preserve">; проведение работ но </w:t>
      </w:r>
      <w:proofErr w:type="spellStart"/>
      <w:r>
        <w:t>неразрушающеиму</w:t>
      </w:r>
      <w:proofErr w:type="spellEnd"/>
      <w:r>
        <w:t xml:space="preserve"> контролю (УЗК</w:t>
      </w:r>
      <w:proofErr w:type="gramStart"/>
      <w:r>
        <w:t>,В</w:t>
      </w:r>
      <w:proofErr w:type="gramEnd"/>
      <w:r>
        <w:t>ИК)</w:t>
      </w:r>
      <w:r w:rsidRPr="00C97717">
        <w:t xml:space="preserve">.  </w:t>
      </w:r>
    </w:p>
    <w:p w:rsidR="00B602B3" w:rsidRDefault="00B602B3" w:rsidP="00B602B3">
      <w:pPr>
        <w:numPr>
          <w:ilvl w:val="1"/>
          <w:numId w:val="1"/>
        </w:numPr>
      </w:pPr>
      <w:proofErr w:type="spellStart"/>
      <w:r w:rsidRPr="00C97717">
        <w:t>Реестродержатель</w:t>
      </w:r>
      <w:proofErr w:type="spellEnd"/>
      <w:r w:rsidRPr="00C97717">
        <w:t xml:space="preserve"> эмитента ОсОО «</w:t>
      </w:r>
      <w:proofErr w:type="spellStart"/>
      <w:r>
        <w:t>Фондрегистр</w:t>
      </w:r>
      <w:proofErr w:type="spellEnd"/>
      <w:r w:rsidRPr="00C97717">
        <w:t>»</w:t>
      </w:r>
    </w:p>
    <w:p w:rsidR="00B602B3" w:rsidRPr="00C97717" w:rsidRDefault="00B602B3" w:rsidP="00B602B3">
      <w:pPr>
        <w:ind w:left="1140"/>
      </w:pPr>
    </w:p>
    <w:p w:rsidR="00D4422A" w:rsidRPr="00D4422A" w:rsidRDefault="00B602B3" w:rsidP="00D4422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владельцев ценных бумаг и работников эмитента.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912"/>
      </w:tblGrid>
      <w:tr w:rsidR="00B602B3" w:rsidTr="00B602B3">
        <w:tc>
          <w:tcPr>
            <w:tcW w:w="7230" w:type="dxa"/>
          </w:tcPr>
          <w:p w:rsidR="00B602B3" w:rsidRDefault="00B602B3" w:rsidP="00B602B3">
            <w:r>
              <w:t>Количество акционеров (участников) по состоянию на конец года</w:t>
            </w:r>
          </w:p>
        </w:tc>
        <w:tc>
          <w:tcPr>
            <w:tcW w:w="1912" w:type="dxa"/>
          </w:tcPr>
          <w:p w:rsidR="00B602B3" w:rsidRDefault="00EC553D" w:rsidP="00E41513">
            <w:pPr>
              <w:jc w:val="center"/>
            </w:pPr>
            <w:r>
              <w:t>4</w:t>
            </w:r>
            <w:r w:rsidR="00E41513">
              <w:t>3</w:t>
            </w:r>
            <w:r w:rsidR="00B602B3">
              <w:t xml:space="preserve"> чел.</w:t>
            </w:r>
          </w:p>
        </w:tc>
      </w:tr>
      <w:tr w:rsidR="00B602B3" w:rsidTr="00B602B3">
        <w:tc>
          <w:tcPr>
            <w:tcW w:w="7230" w:type="dxa"/>
          </w:tcPr>
          <w:p w:rsidR="00B602B3" w:rsidRDefault="00B602B3" w:rsidP="00B602B3">
            <w:pPr>
              <w:pStyle w:val="2"/>
            </w:pPr>
            <w:r>
              <w:t>Количество работников эмитента на конец  года</w:t>
            </w:r>
          </w:p>
        </w:tc>
        <w:tc>
          <w:tcPr>
            <w:tcW w:w="1912" w:type="dxa"/>
          </w:tcPr>
          <w:p w:rsidR="00B602B3" w:rsidRDefault="00EC553D" w:rsidP="00E41513">
            <w:pPr>
              <w:jc w:val="center"/>
            </w:pPr>
            <w:r>
              <w:t>3</w:t>
            </w:r>
            <w:r w:rsidR="00E41513">
              <w:t>6</w:t>
            </w:r>
            <w:r w:rsidR="00B602B3">
              <w:t xml:space="preserve"> чел.</w:t>
            </w:r>
          </w:p>
        </w:tc>
      </w:tr>
    </w:tbl>
    <w:p w:rsidR="00B602B3" w:rsidRDefault="00B602B3" w:rsidP="00B60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602B3" w:rsidRDefault="00B602B3" w:rsidP="00B60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 Список юридических лиц, в которых данный эмитент владеет 5 процентами и более уставного капитала.</w:t>
      </w:r>
    </w:p>
    <w:p w:rsidR="00B602B3" w:rsidRPr="00C97717" w:rsidRDefault="00B602B3" w:rsidP="00B602B3">
      <w:pPr>
        <w:pStyle w:val="20"/>
        <w:rPr>
          <w:sz w:val="24"/>
          <w:szCs w:val="24"/>
        </w:rPr>
      </w:pPr>
      <w:proofErr w:type="gramStart"/>
      <w:r>
        <w:rPr>
          <w:sz w:val="24"/>
          <w:szCs w:val="24"/>
        </w:rPr>
        <w:t>Предприятий</w:t>
      </w:r>
      <w:r w:rsidRPr="00C97717">
        <w:rPr>
          <w:sz w:val="24"/>
          <w:szCs w:val="24"/>
        </w:rPr>
        <w:t>,</w:t>
      </w:r>
      <w:r w:rsidR="008B0B07">
        <w:rPr>
          <w:sz w:val="24"/>
          <w:szCs w:val="24"/>
        </w:rPr>
        <w:t xml:space="preserve"> </w:t>
      </w:r>
      <w:r w:rsidRPr="00C97717">
        <w:rPr>
          <w:sz w:val="24"/>
          <w:szCs w:val="24"/>
        </w:rPr>
        <w:t xml:space="preserve"> владеющих не менее 5% от общего количества акций не имеется</w:t>
      </w:r>
      <w:proofErr w:type="gramEnd"/>
      <w:r w:rsidRPr="00C97717">
        <w:rPr>
          <w:sz w:val="24"/>
          <w:szCs w:val="24"/>
        </w:rPr>
        <w:t>.</w:t>
      </w:r>
    </w:p>
    <w:p w:rsidR="00B602B3" w:rsidRDefault="00B602B3" w:rsidP="00B602B3">
      <w:pPr>
        <w:rPr>
          <w:b/>
          <w:sz w:val="28"/>
          <w:szCs w:val="28"/>
        </w:rPr>
      </w:pPr>
    </w:p>
    <w:p w:rsidR="00D4563F" w:rsidRPr="002C257D" w:rsidRDefault="00B602B3" w:rsidP="00D4422A">
      <w:pPr>
        <w:numPr>
          <w:ilvl w:val="0"/>
          <w:numId w:val="5"/>
        </w:numPr>
        <w:rPr>
          <w:b/>
          <w:sz w:val="28"/>
          <w:szCs w:val="28"/>
        </w:rPr>
      </w:pPr>
      <w:r w:rsidRPr="002C257D">
        <w:rPr>
          <w:b/>
          <w:sz w:val="28"/>
          <w:szCs w:val="28"/>
        </w:rPr>
        <w:t xml:space="preserve">Информация о существенных фактах (далее факт), затрагивающих  деятельность, эмитента ценных бумаг в отчетном периоде.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34"/>
        <w:gridCol w:w="2268"/>
        <w:gridCol w:w="2942"/>
      </w:tblGrid>
      <w:tr w:rsidR="00D4563F" w:rsidTr="00491594">
        <w:tc>
          <w:tcPr>
            <w:tcW w:w="3403" w:type="dxa"/>
          </w:tcPr>
          <w:p w:rsidR="00D4563F" w:rsidRPr="00D4563F" w:rsidRDefault="00225E5D" w:rsidP="00A85F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D4563F" w:rsidRPr="00D4563F">
              <w:rPr>
                <w:b/>
                <w:sz w:val="18"/>
                <w:szCs w:val="18"/>
              </w:rPr>
              <w:t>Наименование  факта</w:t>
            </w:r>
          </w:p>
        </w:tc>
        <w:tc>
          <w:tcPr>
            <w:tcW w:w="1134" w:type="dxa"/>
          </w:tcPr>
          <w:p w:rsidR="00D4563F" w:rsidRPr="00D4563F" w:rsidRDefault="00D4563F" w:rsidP="00A85F3F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>Дата появления факта</w:t>
            </w:r>
          </w:p>
        </w:tc>
        <w:tc>
          <w:tcPr>
            <w:tcW w:w="2268" w:type="dxa"/>
          </w:tcPr>
          <w:p w:rsidR="00D4563F" w:rsidRPr="00D4563F" w:rsidRDefault="00D4563F" w:rsidP="00A85F3F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 xml:space="preserve">Влияние факта на деятельность публичной компании </w:t>
            </w:r>
          </w:p>
        </w:tc>
        <w:tc>
          <w:tcPr>
            <w:tcW w:w="2942" w:type="dxa"/>
          </w:tcPr>
          <w:p w:rsidR="00D4563F" w:rsidRPr="00D4563F" w:rsidRDefault="00D4563F" w:rsidP="00A85F3F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 xml:space="preserve">Дата и форма раскрытия информации о факте </w:t>
            </w:r>
          </w:p>
        </w:tc>
      </w:tr>
      <w:tr w:rsidR="00491594" w:rsidTr="00491594">
        <w:tc>
          <w:tcPr>
            <w:tcW w:w="3403" w:type="dxa"/>
            <w:vAlign w:val="center"/>
          </w:tcPr>
          <w:p w:rsidR="00491594" w:rsidRPr="00DC1CB1" w:rsidRDefault="00491594" w:rsidP="001A5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Внеочередное</w:t>
            </w:r>
            <w:r w:rsidRPr="00DC1CB1">
              <w:rPr>
                <w:sz w:val="22"/>
                <w:szCs w:val="22"/>
              </w:rPr>
              <w:t xml:space="preserve"> общее собрание акционеров</w:t>
            </w:r>
          </w:p>
        </w:tc>
        <w:tc>
          <w:tcPr>
            <w:tcW w:w="1134" w:type="dxa"/>
          </w:tcPr>
          <w:p w:rsidR="00491594" w:rsidRPr="00DC1CB1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января 2023г.</w:t>
            </w:r>
          </w:p>
        </w:tc>
        <w:tc>
          <w:tcPr>
            <w:tcW w:w="2268" w:type="dxa"/>
          </w:tcPr>
          <w:p w:rsidR="00491594" w:rsidRPr="00DC1CB1" w:rsidRDefault="00491594" w:rsidP="005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</w:tcPr>
          <w:p w:rsidR="00491594" w:rsidRPr="00DC1CB1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января 2023г. газета «</w:t>
            </w:r>
            <w:proofErr w:type="spellStart"/>
            <w:r>
              <w:rPr>
                <w:sz w:val="22"/>
                <w:szCs w:val="22"/>
              </w:rPr>
              <w:t>Эркин-Тоо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91594" w:rsidTr="00491594">
        <w:tc>
          <w:tcPr>
            <w:tcW w:w="3403" w:type="dxa"/>
            <w:vAlign w:val="center"/>
          </w:tcPr>
          <w:p w:rsidR="00491594" w:rsidRPr="00491594" w:rsidRDefault="00491594" w:rsidP="001A5E17">
            <w:pPr>
              <w:rPr>
                <w:sz w:val="20"/>
                <w:szCs w:val="20"/>
              </w:rPr>
            </w:pPr>
            <w:r w:rsidRPr="00491594">
              <w:rPr>
                <w:sz w:val="20"/>
                <w:szCs w:val="20"/>
              </w:rPr>
              <w:t xml:space="preserve">Выборы Председателя СД </w:t>
            </w:r>
            <w:proofErr w:type="spellStart"/>
            <w:r w:rsidRPr="00491594">
              <w:rPr>
                <w:sz w:val="20"/>
                <w:szCs w:val="20"/>
              </w:rPr>
              <w:t>Амиракулова</w:t>
            </w:r>
            <w:proofErr w:type="spellEnd"/>
            <w:r w:rsidRPr="00491594">
              <w:rPr>
                <w:sz w:val="20"/>
                <w:szCs w:val="20"/>
              </w:rPr>
              <w:t xml:space="preserve"> </w:t>
            </w:r>
            <w:proofErr w:type="spellStart"/>
            <w:r w:rsidRPr="00491594">
              <w:rPr>
                <w:sz w:val="20"/>
                <w:szCs w:val="20"/>
              </w:rPr>
              <w:t>А.С.,секретаря</w:t>
            </w:r>
            <w:proofErr w:type="spellEnd"/>
            <w:r w:rsidRPr="00491594">
              <w:rPr>
                <w:sz w:val="20"/>
                <w:szCs w:val="20"/>
              </w:rPr>
              <w:t xml:space="preserve"> Общества </w:t>
            </w:r>
            <w:proofErr w:type="spellStart"/>
            <w:r w:rsidRPr="00491594">
              <w:rPr>
                <w:sz w:val="20"/>
                <w:szCs w:val="20"/>
              </w:rPr>
              <w:t>Сатылканова</w:t>
            </w:r>
            <w:proofErr w:type="spellEnd"/>
            <w:r w:rsidRPr="00491594">
              <w:rPr>
                <w:sz w:val="20"/>
                <w:szCs w:val="20"/>
              </w:rPr>
              <w:t xml:space="preserve"> А.А., директора </w:t>
            </w:r>
            <w:proofErr w:type="spellStart"/>
            <w:r w:rsidRPr="00491594">
              <w:rPr>
                <w:sz w:val="20"/>
                <w:szCs w:val="20"/>
              </w:rPr>
              <w:t>Абутханова</w:t>
            </w:r>
            <w:proofErr w:type="spellEnd"/>
            <w:r w:rsidRPr="00491594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</w:tcPr>
          <w:p w:rsidR="00491594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января 2023г.</w:t>
            </w:r>
          </w:p>
        </w:tc>
        <w:tc>
          <w:tcPr>
            <w:tcW w:w="2268" w:type="dxa"/>
          </w:tcPr>
          <w:p w:rsidR="00491594" w:rsidRDefault="00491594" w:rsidP="005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</w:tcPr>
          <w:p w:rsidR="00491594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февраля 2023г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азета «</w:t>
            </w:r>
            <w:proofErr w:type="spellStart"/>
            <w:r>
              <w:rPr>
                <w:sz w:val="22"/>
                <w:szCs w:val="22"/>
              </w:rPr>
              <w:t>Эркин-Тоо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91594" w:rsidTr="00491594">
        <w:tc>
          <w:tcPr>
            <w:tcW w:w="3403" w:type="dxa"/>
            <w:vAlign w:val="center"/>
          </w:tcPr>
          <w:p w:rsidR="00491594" w:rsidRPr="00491594" w:rsidRDefault="00491594" w:rsidP="00A85F3F">
            <w:pPr>
              <w:rPr>
                <w:sz w:val="20"/>
                <w:szCs w:val="20"/>
              </w:rPr>
            </w:pPr>
            <w:r w:rsidRPr="00491594">
              <w:rPr>
                <w:sz w:val="20"/>
                <w:szCs w:val="20"/>
              </w:rPr>
              <w:t xml:space="preserve">Прекращение полномочий директора </w:t>
            </w:r>
            <w:proofErr w:type="spellStart"/>
            <w:r w:rsidRPr="00491594">
              <w:rPr>
                <w:sz w:val="20"/>
                <w:szCs w:val="20"/>
              </w:rPr>
              <w:t>Абутханова</w:t>
            </w:r>
            <w:proofErr w:type="spellEnd"/>
            <w:r w:rsidRPr="00491594">
              <w:rPr>
                <w:sz w:val="20"/>
                <w:szCs w:val="20"/>
              </w:rPr>
              <w:t xml:space="preserve"> А.А., выборы директора  </w:t>
            </w:r>
            <w:proofErr w:type="spellStart"/>
            <w:r w:rsidRPr="00491594">
              <w:rPr>
                <w:sz w:val="20"/>
                <w:szCs w:val="20"/>
              </w:rPr>
              <w:t>Тавашарова</w:t>
            </w:r>
            <w:proofErr w:type="spellEnd"/>
            <w:r w:rsidRPr="00491594">
              <w:rPr>
                <w:sz w:val="20"/>
                <w:szCs w:val="20"/>
              </w:rPr>
              <w:t xml:space="preserve"> Э.К.</w:t>
            </w:r>
          </w:p>
        </w:tc>
        <w:tc>
          <w:tcPr>
            <w:tcW w:w="1134" w:type="dxa"/>
          </w:tcPr>
          <w:p w:rsidR="00491594" w:rsidRPr="00DC1CB1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 2023г.</w:t>
            </w:r>
          </w:p>
        </w:tc>
        <w:tc>
          <w:tcPr>
            <w:tcW w:w="2268" w:type="dxa"/>
          </w:tcPr>
          <w:p w:rsidR="00491594" w:rsidRPr="00DC1CB1" w:rsidRDefault="00491594" w:rsidP="005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</w:tcPr>
          <w:p w:rsidR="00491594" w:rsidRPr="00DC1CB1" w:rsidRDefault="00491594" w:rsidP="00736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апреля 2023г. газета «</w:t>
            </w:r>
            <w:proofErr w:type="spellStart"/>
            <w:r>
              <w:rPr>
                <w:sz w:val="22"/>
                <w:szCs w:val="22"/>
              </w:rPr>
              <w:t>Эркин-Тоо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91594" w:rsidTr="00491594">
        <w:tc>
          <w:tcPr>
            <w:tcW w:w="3403" w:type="dxa"/>
            <w:vAlign w:val="center"/>
          </w:tcPr>
          <w:p w:rsidR="00491594" w:rsidRPr="00DC1CB1" w:rsidRDefault="00491594" w:rsidP="00A85F3F">
            <w:pPr>
              <w:rPr>
                <w:sz w:val="22"/>
                <w:szCs w:val="22"/>
              </w:rPr>
            </w:pPr>
            <w:r w:rsidRPr="00DC1CB1">
              <w:rPr>
                <w:sz w:val="22"/>
                <w:szCs w:val="22"/>
              </w:rPr>
              <w:t>Годовое общее собрание акционеров</w:t>
            </w:r>
          </w:p>
        </w:tc>
        <w:tc>
          <w:tcPr>
            <w:tcW w:w="1134" w:type="dxa"/>
          </w:tcPr>
          <w:p w:rsidR="00491594" w:rsidRPr="00DC1CB1" w:rsidRDefault="00491594" w:rsidP="002C257D">
            <w:pPr>
              <w:jc w:val="center"/>
              <w:rPr>
                <w:sz w:val="22"/>
                <w:szCs w:val="22"/>
              </w:rPr>
            </w:pPr>
            <w:r w:rsidRPr="00DC1CB1">
              <w:rPr>
                <w:sz w:val="22"/>
                <w:szCs w:val="22"/>
              </w:rPr>
              <w:t>29 апреля 202</w:t>
            </w:r>
            <w:r w:rsidR="002C257D">
              <w:rPr>
                <w:sz w:val="22"/>
                <w:szCs w:val="22"/>
              </w:rPr>
              <w:t>3</w:t>
            </w:r>
            <w:r w:rsidRPr="00DC1CB1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491594" w:rsidRPr="00DC1CB1" w:rsidRDefault="00491594" w:rsidP="005775E0">
            <w:pPr>
              <w:jc w:val="center"/>
              <w:rPr>
                <w:sz w:val="22"/>
                <w:szCs w:val="22"/>
              </w:rPr>
            </w:pPr>
            <w:r w:rsidRPr="00DC1CB1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</w:tcPr>
          <w:p w:rsidR="00491594" w:rsidRPr="00DC1CB1" w:rsidRDefault="002C257D" w:rsidP="002C2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1594" w:rsidRPr="00DC1CB1">
              <w:rPr>
                <w:sz w:val="22"/>
                <w:szCs w:val="22"/>
              </w:rPr>
              <w:t xml:space="preserve">  мая  202</w:t>
            </w:r>
            <w:r>
              <w:rPr>
                <w:sz w:val="22"/>
                <w:szCs w:val="22"/>
              </w:rPr>
              <w:t>3</w:t>
            </w:r>
            <w:r w:rsidR="00491594" w:rsidRPr="00DC1CB1">
              <w:rPr>
                <w:sz w:val="22"/>
                <w:szCs w:val="22"/>
              </w:rPr>
              <w:t>г. газета «Слово Кыргызстана»</w:t>
            </w:r>
          </w:p>
        </w:tc>
      </w:tr>
    </w:tbl>
    <w:p w:rsidR="002C257D" w:rsidRDefault="002C257D" w:rsidP="002C257D">
      <w:pPr>
        <w:pStyle w:val="a6"/>
        <w:ind w:left="900"/>
        <w:rPr>
          <w:b/>
          <w:sz w:val="28"/>
          <w:szCs w:val="28"/>
        </w:rPr>
      </w:pPr>
    </w:p>
    <w:p w:rsidR="002C257D" w:rsidRDefault="00B602B3" w:rsidP="002C257D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214D2A">
        <w:rPr>
          <w:b/>
          <w:sz w:val="28"/>
          <w:szCs w:val="28"/>
        </w:rPr>
        <w:t>Финансовая  отчетность эмитента за отчетный период:</w:t>
      </w:r>
    </w:p>
    <w:p w:rsidR="002C257D" w:rsidRPr="002C257D" w:rsidRDefault="002C257D" w:rsidP="002C257D">
      <w:pPr>
        <w:pStyle w:val="a6"/>
        <w:ind w:left="900"/>
        <w:rPr>
          <w:b/>
          <w:sz w:val="28"/>
          <w:szCs w:val="28"/>
        </w:rPr>
      </w:pPr>
    </w:p>
    <w:p w:rsidR="002C257D" w:rsidRPr="002C257D" w:rsidRDefault="00B602B3" w:rsidP="002C257D">
      <w:pPr>
        <w:pStyle w:val="a6"/>
        <w:numPr>
          <w:ilvl w:val="0"/>
          <w:numId w:val="8"/>
        </w:numPr>
        <w:rPr>
          <w:b/>
        </w:rPr>
      </w:pPr>
      <w:r w:rsidRPr="002C257D">
        <w:rPr>
          <w:b/>
        </w:rPr>
        <w:t xml:space="preserve">Сведения, включаемые в  бухгалтерский баланс 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153"/>
        <w:gridCol w:w="2160"/>
      </w:tblGrid>
      <w:tr w:rsidR="00B602B3" w:rsidRPr="00B62501" w:rsidTr="00A85F3F">
        <w:tc>
          <w:tcPr>
            <w:tcW w:w="5328" w:type="dxa"/>
          </w:tcPr>
          <w:p w:rsidR="00B602B3" w:rsidRPr="00B62501" w:rsidRDefault="00B602B3" w:rsidP="00A85F3F">
            <w:pPr>
              <w:rPr>
                <w:b/>
                <w:sz w:val="26"/>
                <w:szCs w:val="26"/>
              </w:rPr>
            </w:pPr>
          </w:p>
        </w:tc>
        <w:tc>
          <w:tcPr>
            <w:tcW w:w="2153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начало </w:t>
            </w:r>
            <w:proofErr w:type="spellStart"/>
            <w:proofErr w:type="gramStart"/>
            <w:r w:rsidRPr="002915BD">
              <w:rPr>
                <w:sz w:val="22"/>
                <w:szCs w:val="22"/>
              </w:rPr>
              <w:t>отчет-ного</w:t>
            </w:r>
            <w:proofErr w:type="spellEnd"/>
            <w:proofErr w:type="gramEnd"/>
            <w:r w:rsidRPr="002915BD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2160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конец отчетного  периода</w:t>
            </w:r>
          </w:p>
        </w:tc>
      </w:tr>
      <w:tr w:rsidR="00B602B3" w:rsidRPr="00B62501" w:rsidTr="00A85F3F">
        <w:tc>
          <w:tcPr>
            <w:tcW w:w="5328" w:type="dxa"/>
          </w:tcPr>
          <w:p w:rsidR="00B602B3" w:rsidRPr="002915BD" w:rsidRDefault="00B602B3" w:rsidP="00A85F3F">
            <w:pPr>
              <w:rPr>
                <w:b/>
              </w:rPr>
            </w:pPr>
            <w:r w:rsidRPr="002915BD">
              <w:rPr>
                <w:b/>
              </w:rPr>
              <w:t>Активы</w:t>
            </w:r>
          </w:p>
        </w:tc>
        <w:tc>
          <w:tcPr>
            <w:tcW w:w="2153" w:type="dxa"/>
            <w:vAlign w:val="center"/>
          </w:tcPr>
          <w:p w:rsidR="00B602B3" w:rsidRPr="002915BD" w:rsidRDefault="00B602B3" w:rsidP="00A85F3F">
            <w:pPr>
              <w:jc w:val="center"/>
            </w:pPr>
          </w:p>
        </w:tc>
        <w:tc>
          <w:tcPr>
            <w:tcW w:w="2160" w:type="dxa"/>
          </w:tcPr>
          <w:p w:rsidR="00B602B3" w:rsidRPr="002915BD" w:rsidRDefault="00B602B3" w:rsidP="00A85F3F">
            <w:pPr>
              <w:rPr>
                <w:b/>
              </w:rPr>
            </w:pP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1. Оборотные активы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367,9</w:t>
            </w:r>
          </w:p>
        </w:tc>
        <w:tc>
          <w:tcPr>
            <w:tcW w:w="2160" w:type="dxa"/>
            <w:vAlign w:val="center"/>
          </w:tcPr>
          <w:p w:rsidR="00E41513" w:rsidRPr="002915BD" w:rsidRDefault="00475075" w:rsidP="00475075">
            <w:pPr>
              <w:jc w:val="center"/>
            </w:pPr>
            <w:r>
              <w:t>1</w:t>
            </w:r>
            <w:r w:rsidR="00E41513">
              <w:t>3</w:t>
            </w:r>
            <w:r>
              <w:t>59</w:t>
            </w:r>
            <w:r w:rsidR="00E41513">
              <w:t>,</w:t>
            </w:r>
            <w:r>
              <w:t>1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 xml:space="preserve">2. </w:t>
            </w:r>
            <w:proofErr w:type="spellStart"/>
            <w:r w:rsidRPr="002915BD">
              <w:t>Внеоборотные</w:t>
            </w:r>
            <w:proofErr w:type="spellEnd"/>
            <w:r w:rsidRPr="002915BD">
              <w:t xml:space="preserve"> активы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77,3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1332,8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lastRenderedPageBreak/>
              <w:t xml:space="preserve">3. Долгосрочная дебиторская  задолженность 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7,7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7,7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 xml:space="preserve">4. Краткосрочная дебиторская задолженность 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781,1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475075">
            <w:pPr>
              <w:jc w:val="center"/>
            </w:pPr>
            <w:r>
              <w:t>1</w:t>
            </w:r>
            <w:r w:rsidR="00475075">
              <w:t>3584</w:t>
            </w:r>
            <w:r>
              <w:t>,</w:t>
            </w:r>
            <w:r w:rsidR="00475075">
              <w:t>4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Итого активы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  <w:rPr>
                <w:b/>
              </w:rPr>
            </w:pPr>
            <w:r>
              <w:rPr>
                <w:b/>
              </w:rPr>
              <w:t>1234,0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475075">
            <w:pPr>
              <w:jc w:val="center"/>
              <w:rPr>
                <w:b/>
              </w:rPr>
            </w:pPr>
            <w:r>
              <w:rPr>
                <w:b/>
              </w:rPr>
              <w:t>1628</w:t>
            </w:r>
            <w:r w:rsidR="00475075">
              <w:rPr>
                <w:b/>
              </w:rPr>
              <w:t>4,0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pPr>
              <w:rPr>
                <w:b/>
              </w:rPr>
            </w:pPr>
            <w:r w:rsidRPr="002915BD">
              <w:rPr>
                <w:b/>
              </w:rPr>
              <w:t>Обязательства и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E41513" w:rsidRPr="002915BD" w:rsidRDefault="00E41513" w:rsidP="00A85F3F">
            <w:pPr>
              <w:jc w:val="center"/>
            </w:pP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1. Краткосрочные обязательства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2281,9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475075">
            <w:pPr>
              <w:jc w:val="center"/>
            </w:pPr>
            <w:r>
              <w:t>132</w:t>
            </w:r>
            <w:r w:rsidR="00475075">
              <w:t>80,1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 xml:space="preserve">2. Долгосрочные обязательства 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-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2750,0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Итого обязательства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2281,9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475075">
            <w:pPr>
              <w:jc w:val="center"/>
            </w:pPr>
            <w:r>
              <w:t>160</w:t>
            </w:r>
            <w:r w:rsidR="00475075">
              <w:t>30</w:t>
            </w:r>
            <w:r>
              <w:t>,</w:t>
            </w:r>
            <w:r w:rsidR="00475075">
              <w:t>1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pPr>
              <w:rPr>
                <w:b/>
              </w:rPr>
            </w:pPr>
            <w:r w:rsidRPr="002915BD">
              <w:rPr>
                <w:b/>
              </w:rPr>
              <w:t>Собственный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1. Уставный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1467,0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1467,0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>
              <w:t>2. Прочий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-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-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>
              <w:t>3</w:t>
            </w:r>
            <w:r w:rsidRPr="002915BD">
              <w:t>. Нераспределенная прибыль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- 2661,6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- 1359,8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>
              <w:t>4</w:t>
            </w:r>
            <w:r w:rsidRPr="002915BD">
              <w:t>. Резервный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146,7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1A5E17">
            <w:pPr>
              <w:jc w:val="center"/>
            </w:pPr>
            <w:r>
              <w:t>146,7</w:t>
            </w:r>
          </w:p>
        </w:tc>
      </w:tr>
      <w:tr w:rsidR="00E41513" w:rsidRPr="00B62501" w:rsidTr="00A85F3F">
        <w:tc>
          <w:tcPr>
            <w:tcW w:w="5328" w:type="dxa"/>
          </w:tcPr>
          <w:p w:rsidR="00E41513" w:rsidRPr="002915BD" w:rsidRDefault="00E41513" w:rsidP="00A85F3F">
            <w:r w:rsidRPr="002915BD">
              <w:t>Итого обязательства  и собственный капитал</w:t>
            </w:r>
          </w:p>
        </w:tc>
        <w:tc>
          <w:tcPr>
            <w:tcW w:w="2153" w:type="dxa"/>
            <w:vAlign w:val="center"/>
          </w:tcPr>
          <w:p w:rsidR="00E41513" w:rsidRPr="002915BD" w:rsidRDefault="00E41513" w:rsidP="001A5E17">
            <w:pPr>
              <w:jc w:val="center"/>
              <w:rPr>
                <w:b/>
              </w:rPr>
            </w:pPr>
            <w:r>
              <w:rPr>
                <w:b/>
              </w:rPr>
              <w:t>1234,0</w:t>
            </w:r>
          </w:p>
        </w:tc>
        <w:tc>
          <w:tcPr>
            <w:tcW w:w="2160" w:type="dxa"/>
            <w:vAlign w:val="center"/>
          </w:tcPr>
          <w:p w:rsidR="00E41513" w:rsidRPr="002915BD" w:rsidRDefault="00E41513" w:rsidP="00475075">
            <w:pPr>
              <w:jc w:val="center"/>
              <w:rPr>
                <w:b/>
              </w:rPr>
            </w:pPr>
            <w:r>
              <w:rPr>
                <w:b/>
              </w:rPr>
              <w:t>1628</w:t>
            </w:r>
            <w:r w:rsidR="00475075">
              <w:rPr>
                <w:b/>
              </w:rPr>
              <w:t>4,0</w:t>
            </w:r>
          </w:p>
        </w:tc>
      </w:tr>
    </w:tbl>
    <w:p w:rsidR="00B602B3" w:rsidRDefault="00B602B3" w:rsidP="00B602B3">
      <w:pPr>
        <w:ind w:left="60"/>
        <w:rPr>
          <w:b/>
        </w:rPr>
      </w:pPr>
    </w:p>
    <w:p w:rsidR="00837E18" w:rsidRPr="00837E18" w:rsidRDefault="00B602B3" w:rsidP="00837E18">
      <w:pPr>
        <w:ind w:left="60"/>
        <w:rPr>
          <w:b/>
        </w:rPr>
      </w:pPr>
      <w:r w:rsidRPr="005557E1">
        <w:rPr>
          <w:b/>
        </w:rPr>
        <w:t xml:space="preserve">                            2)  Сведения, включаемые в отчет о прибылях и убытках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B602B3" w:rsidRPr="00B62501" w:rsidTr="00A85F3F">
        <w:tc>
          <w:tcPr>
            <w:tcW w:w="5148" w:type="dxa"/>
          </w:tcPr>
          <w:p w:rsidR="00B602B3" w:rsidRPr="00B62501" w:rsidRDefault="00B602B3" w:rsidP="00A85F3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начало  отчетного периода</w:t>
            </w:r>
          </w:p>
        </w:tc>
        <w:tc>
          <w:tcPr>
            <w:tcW w:w="2319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конец отчетного    периода 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Валовая прибыль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374,4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14652,4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Доходы и расходы от прочей операционной деятельности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Операционные расходы периода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4119,6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11535,7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Прибыль (убыток) от операционной деятельности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- 3745,2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3116,7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Доходы и расходы от </w:t>
            </w:r>
            <w:proofErr w:type="spellStart"/>
            <w:r w:rsidRPr="002915BD">
              <w:t>неоперационной</w:t>
            </w:r>
            <w:proofErr w:type="spellEnd"/>
            <w:r w:rsidRPr="002915BD">
              <w:t xml:space="preserve"> деятельности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- 9,2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>
              <w:t xml:space="preserve">Прочие </w:t>
            </w:r>
            <w:proofErr w:type="spellStart"/>
            <w:r>
              <w:t>неоперационные</w:t>
            </w:r>
            <w:proofErr w:type="spellEnd"/>
            <w:r>
              <w:t xml:space="preserve"> доходы и  расходы </w:t>
            </w:r>
          </w:p>
        </w:tc>
        <w:tc>
          <w:tcPr>
            <w:tcW w:w="2340" w:type="dxa"/>
            <w:vAlign w:val="center"/>
          </w:tcPr>
          <w:p w:rsidR="00CC50ED" w:rsidRDefault="00CC50ED" w:rsidP="001A5E17">
            <w:pPr>
              <w:jc w:val="center"/>
            </w:pPr>
            <w:r>
              <w:t>3025,0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3107,5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Default="00CC50ED" w:rsidP="00E77F49">
            <w:r>
              <w:t xml:space="preserve">Итого доходы и расходы от </w:t>
            </w:r>
            <w:proofErr w:type="spellStart"/>
            <w:r>
              <w:t>неоперационной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340" w:type="dxa"/>
            <w:vAlign w:val="center"/>
          </w:tcPr>
          <w:p w:rsidR="00CC50ED" w:rsidRDefault="00CC50ED" w:rsidP="001A5E17">
            <w:pPr>
              <w:jc w:val="center"/>
            </w:pPr>
            <w:r>
              <w:t>3025,0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1805,7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до вычета налогов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- 720,2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1301,8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Расходы по налогу на прибыль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от обычной деятельности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- 720,2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1301,8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Чрезвычайные статьи за минусом налога на прибыль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261799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AF128C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Чистая прибыль</w:t>
            </w:r>
            <w:r>
              <w:t xml:space="preserve"> </w:t>
            </w:r>
            <w:r w:rsidRPr="002915BD">
              <w:t>(убыток) отчетного периода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E41513">
            <w:pPr>
              <w:jc w:val="center"/>
            </w:pPr>
            <w:r>
              <w:t>- 720,2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771F49">
            <w:pPr>
              <w:jc w:val="center"/>
            </w:pPr>
            <w:r>
              <w:t>1301,8</w:t>
            </w:r>
          </w:p>
        </w:tc>
      </w:tr>
    </w:tbl>
    <w:p w:rsidR="00346FB2" w:rsidRDefault="00346FB2" w:rsidP="00B602B3">
      <w:pPr>
        <w:rPr>
          <w:sz w:val="28"/>
          <w:szCs w:val="28"/>
        </w:rPr>
      </w:pPr>
    </w:p>
    <w:p w:rsidR="00B602B3" w:rsidRPr="005557E1" w:rsidRDefault="00B602B3" w:rsidP="00B602B3">
      <w:pPr>
        <w:rPr>
          <w:b/>
        </w:rPr>
      </w:pPr>
      <w:r w:rsidRPr="005557E1">
        <w:rPr>
          <w:b/>
          <w:sz w:val="28"/>
          <w:szCs w:val="28"/>
        </w:rPr>
        <w:t xml:space="preserve">                       3)  </w:t>
      </w:r>
      <w:r w:rsidRPr="005557E1">
        <w:rPr>
          <w:b/>
        </w:rPr>
        <w:t>Сведения, включаемые в отчет об изменениях в капитале</w:t>
      </w:r>
    </w:p>
    <w:p w:rsidR="00B602B3" w:rsidRPr="007F7700" w:rsidRDefault="00B602B3" w:rsidP="00B602B3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B602B3" w:rsidRPr="00B62501" w:rsidTr="00A85F3F">
        <w:tc>
          <w:tcPr>
            <w:tcW w:w="5148" w:type="dxa"/>
          </w:tcPr>
          <w:p w:rsidR="00B602B3" w:rsidRPr="00B62501" w:rsidRDefault="00B602B3" w:rsidP="00A85F3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начало  отчетного периода</w:t>
            </w:r>
          </w:p>
        </w:tc>
        <w:tc>
          <w:tcPr>
            <w:tcW w:w="2319" w:type="dxa"/>
          </w:tcPr>
          <w:p w:rsidR="00B602B3" w:rsidRPr="002915BD" w:rsidRDefault="00B602B3" w:rsidP="00A85F3F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конец отчетного    периода 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E41513">
            <w:r w:rsidRPr="002915BD">
              <w:t xml:space="preserve">Сальдо на «1»  </w:t>
            </w:r>
            <w:r>
              <w:t>январ</w:t>
            </w:r>
            <w:r w:rsidRPr="002915BD">
              <w:t>я  20</w:t>
            </w:r>
            <w:r>
              <w:t>23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1578,6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- 1047,9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Изменения в учетной политике и исправление существенных ошибок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-1906,3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Пересчитанное сальдо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- 327,7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Чистая прибыль или убытки, не признанные в отчете о прибылях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- 720,2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>
              <w:t>в том числе:                                                              прирост (дефицит) от переоценки имущества</w:t>
            </w:r>
          </w:p>
        </w:tc>
        <w:tc>
          <w:tcPr>
            <w:tcW w:w="2340" w:type="dxa"/>
            <w:vAlign w:val="center"/>
          </w:tcPr>
          <w:p w:rsidR="00CC50E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Чистая прибыль (убытки) за отчетный период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- 720,2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1301,8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Дивиденды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 xml:space="preserve">Эмиссия акций 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Ограничение прибыли к распределению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A85F3F">
            <w:r w:rsidRPr="002915BD">
              <w:t>Изменение уставного капитала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CC50ED">
            <w:pPr>
              <w:jc w:val="center"/>
            </w:pPr>
            <w:r>
              <w:t>-</w:t>
            </w:r>
          </w:p>
        </w:tc>
      </w:tr>
      <w:tr w:rsidR="00CC50ED" w:rsidRPr="00B62501" w:rsidTr="00A85F3F">
        <w:tc>
          <w:tcPr>
            <w:tcW w:w="5148" w:type="dxa"/>
          </w:tcPr>
          <w:p w:rsidR="00CC50ED" w:rsidRPr="002915BD" w:rsidRDefault="00CC50ED" w:rsidP="00E41513">
            <w:r w:rsidRPr="002915BD">
              <w:t xml:space="preserve">Сальдо на « 1 » </w:t>
            </w:r>
            <w:r>
              <w:t xml:space="preserve"> января  2024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CC50ED" w:rsidRPr="002915BD" w:rsidRDefault="00CC50ED" w:rsidP="001A5E17">
            <w:pPr>
              <w:jc w:val="center"/>
            </w:pPr>
            <w:r>
              <w:t>- 1047,9</w:t>
            </w:r>
          </w:p>
        </w:tc>
        <w:tc>
          <w:tcPr>
            <w:tcW w:w="2319" w:type="dxa"/>
            <w:vAlign w:val="center"/>
          </w:tcPr>
          <w:p w:rsidR="00CC50ED" w:rsidRPr="002915BD" w:rsidRDefault="00CC50ED" w:rsidP="00771F49">
            <w:pPr>
              <w:jc w:val="center"/>
            </w:pPr>
            <w:r>
              <w:t>253,9</w:t>
            </w:r>
          </w:p>
        </w:tc>
      </w:tr>
    </w:tbl>
    <w:p w:rsidR="00B602B3" w:rsidRDefault="00B602B3" w:rsidP="00B602B3">
      <w:pPr>
        <w:rPr>
          <w:sz w:val="28"/>
          <w:szCs w:val="28"/>
        </w:rPr>
      </w:pPr>
    </w:p>
    <w:p w:rsidR="00B602B3" w:rsidRDefault="00B602B3" w:rsidP="00B602B3">
      <w:pPr>
        <w:ind w:left="360" w:hanging="360"/>
        <w:rPr>
          <w:b/>
          <w:sz w:val="28"/>
          <w:szCs w:val="28"/>
        </w:rPr>
      </w:pPr>
      <w:r w:rsidRPr="00C426BD">
        <w:rPr>
          <w:b/>
          <w:sz w:val="28"/>
          <w:szCs w:val="28"/>
        </w:rPr>
        <w:t xml:space="preserve">6. Сведения </w:t>
      </w:r>
      <w:r>
        <w:rPr>
          <w:b/>
          <w:sz w:val="28"/>
          <w:szCs w:val="28"/>
        </w:rPr>
        <w:t xml:space="preserve">о направлении средств, привлеченных в результате размещения эмиссионных ценных бумаг. </w:t>
      </w:r>
    </w:p>
    <w:p w:rsidR="00B602B3" w:rsidRPr="007F7700" w:rsidRDefault="00B602B3" w:rsidP="00B602B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26BD">
        <w:rPr>
          <w:sz w:val="24"/>
          <w:szCs w:val="24"/>
        </w:rPr>
        <w:t>Эмиссии ценных бумаг не проводилось.</w:t>
      </w:r>
    </w:p>
    <w:p w:rsidR="00B602B3" w:rsidRDefault="00B602B3" w:rsidP="00B602B3">
      <w:pPr>
        <w:tabs>
          <w:tab w:val="left" w:pos="1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02B3" w:rsidRDefault="00B602B3" w:rsidP="00B602B3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Заемные средства, полученные эмитентом и его дочерними   обществами   в отчетном квартале. </w:t>
      </w:r>
    </w:p>
    <w:p w:rsidR="00B602B3" w:rsidRDefault="00B602B3" w:rsidP="00B602B3">
      <w:r>
        <w:t xml:space="preserve">      Заемных средств не привлекалось. Дочерних обществ не имеется</w:t>
      </w:r>
    </w:p>
    <w:p w:rsidR="00B602B3" w:rsidRDefault="00B602B3" w:rsidP="00B602B3"/>
    <w:p w:rsidR="00B602B3" w:rsidRDefault="00B602B3" w:rsidP="00CD0DF0">
      <w:pPr>
        <w:ind w:left="360" w:hanging="360"/>
        <w:rPr>
          <w:b/>
          <w:sz w:val="28"/>
          <w:szCs w:val="28"/>
        </w:rPr>
      </w:pPr>
      <w:r w:rsidRPr="000E4C66">
        <w:rPr>
          <w:b/>
          <w:sz w:val="28"/>
          <w:szCs w:val="28"/>
        </w:rPr>
        <w:t>8. Сведения о краткосрочных и до</w:t>
      </w:r>
      <w:r>
        <w:rPr>
          <w:b/>
          <w:sz w:val="28"/>
          <w:szCs w:val="28"/>
        </w:rPr>
        <w:t xml:space="preserve">лгосрочных финансовых вложениях </w:t>
      </w:r>
      <w:r w:rsidRPr="000E4C66">
        <w:rPr>
          <w:b/>
          <w:sz w:val="28"/>
          <w:szCs w:val="28"/>
        </w:rPr>
        <w:t>эмитента за отчетный квартал</w:t>
      </w:r>
      <w:r>
        <w:rPr>
          <w:b/>
          <w:sz w:val="28"/>
          <w:szCs w:val="28"/>
        </w:rPr>
        <w:t>.</w:t>
      </w:r>
    </w:p>
    <w:p w:rsidR="00B602B3" w:rsidRDefault="00B602B3" w:rsidP="00B602B3">
      <w:pPr>
        <w:ind w:left="360" w:hanging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B602B3" w:rsidRPr="00B62501" w:rsidTr="00A85F3F">
        <w:tc>
          <w:tcPr>
            <w:tcW w:w="7488" w:type="dxa"/>
          </w:tcPr>
          <w:p w:rsidR="00B602B3" w:rsidRPr="00B62501" w:rsidRDefault="00B602B3" w:rsidP="00B602B3">
            <w:pPr>
              <w:rPr>
                <w:b/>
                <w:sz w:val="28"/>
                <w:szCs w:val="28"/>
              </w:rPr>
            </w:pPr>
            <w:r w:rsidRPr="000E4C66">
              <w:t xml:space="preserve">Дебиторская задолженность  </w:t>
            </w:r>
            <w:r>
              <w:t>на  конец года</w:t>
            </w:r>
          </w:p>
        </w:tc>
        <w:tc>
          <w:tcPr>
            <w:tcW w:w="2083" w:type="dxa"/>
            <w:vAlign w:val="center"/>
          </w:tcPr>
          <w:p w:rsidR="00B602B3" w:rsidRPr="000E4C66" w:rsidRDefault="002C257D" w:rsidP="00A13803">
            <w:pPr>
              <w:jc w:val="center"/>
            </w:pPr>
            <w:r>
              <w:t>1</w:t>
            </w:r>
            <w:r w:rsidR="00A13803">
              <w:t>3592,1</w:t>
            </w:r>
          </w:p>
        </w:tc>
      </w:tr>
      <w:tr w:rsidR="00B602B3" w:rsidRPr="00B62501" w:rsidTr="00A85F3F">
        <w:tc>
          <w:tcPr>
            <w:tcW w:w="7488" w:type="dxa"/>
          </w:tcPr>
          <w:p w:rsidR="00B602B3" w:rsidRPr="00B62501" w:rsidRDefault="00B602B3" w:rsidP="00B602B3">
            <w:pPr>
              <w:rPr>
                <w:b/>
                <w:sz w:val="28"/>
                <w:szCs w:val="28"/>
              </w:rPr>
            </w:pPr>
            <w:r w:rsidRPr="000E4C66">
              <w:t xml:space="preserve">Кредиторская задолженность  </w:t>
            </w:r>
            <w:r>
              <w:t>на конец года</w:t>
            </w:r>
          </w:p>
        </w:tc>
        <w:tc>
          <w:tcPr>
            <w:tcW w:w="2083" w:type="dxa"/>
            <w:vAlign w:val="center"/>
          </w:tcPr>
          <w:p w:rsidR="00B602B3" w:rsidRPr="000E4C66" w:rsidRDefault="002C257D" w:rsidP="00475075">
            <w:pPr>
              <w:jc w:val="center"/>
            </w:pPr>
            <w:r>
              <w:t>160</w:t>
            </w:r>
            <w:r w:rsidR="00475075">
              <w:t>30</w:t>
            </w:r>
            <w:r>
              <w:t>,</w:t>
            </w:r>
            <w:r w:rsidR="00FB4EA9">
              <w:t>1</w:t>
            </w:r>
          </w:p>
        </w:tc>
      </w:tr>
    </w:tbl>
    <w:p w:rsidR="00B602B3" w:rsidRDefault="00B602B3" w:rsidP="00B602B3">
      <w:pPr>
        <w:ind w:left="360" w:hanging="360"/>
        <w:rPr>
          <w:b/>
          <w:sz w:val="28"/>
          <w:szCs w:val="28"/>
        </w:rPr>
      </w:pPr>
    </w:p>
    <w:p w:rsidR="00B602B3" w:rsidRDefault="00B602B3" w:rsidP="00B602B3">
      <w:pPr>
        <w:ind w:left="360" w:hanging="360"/>
        <w:rPr>
          <w:b/>
          <w:sz w:val="28"/>
          <w:szCs w:val="28"/>
        </w:rPr>
      </w:pPr>
    </w:p>
    <w:p w:rsidR="00B602B3" w:rsidRDefault="00B602B3" w:rsidP="00B602B3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Доходы по ценным бумагам.  </w:t>
      </w:r>
    </w:p>
    <w:p w:rsidR="00B602B3" w:rsidRDefault="00B602B3" w:rsidP="00B602B3">
      <w:r>
        <w:rPr>
          <w:b/>
          <w:sz w:val="28"/>
          <w:szCs w:val="28"/>
        </w:rPr>
        <w:t xml:space="preserve">    </w:t>
      </w:r>
      <w:r>
        <w:t>Доходов по ценным бумагам не было.</w:t>
      </w:r>
    </w:p>
    <w:p w:rsidR="00B602B3" w:rsidRDefault="00B602B3" w:rsidP="00B602B3">
      <w:pPr>
        <w:ind w:left="360" w:hanging="360"/>
      </w:pPr>
    </w:p>
    <w:p w:rsidR="00B602B3" w:rsidRDefault="00B602B3" w:rsidP="00B602B3">
      <w:pPr>
        <w:ind w:left="360" w:hanging="360"/>
      </w:pPr>
    </w:p>
    <w:p w:rsidR="00B602B3" w:rsidRPr="007018CB" w:rsidRDefault="00B602B3" w:rsidP="00B602B3">
      <w:pPr>
        <w:pStyle w:val="20"/>
        <w:ind w:left="-180" w:firstLine="0"/>
        <w:rPr>
          <w:b/>
        </w:rPr>
      </w:pPr>
      <w:r>
        <w:rPr>
          <w:b/>
        </w:rPr>
        <w:t xml:space="preserve">10. </w:t>
      </w:r>
      <w:r w:rsidRPr="007018CB">
        <w:rPr>
          <w:b/>
        </w:rPr>
        <w:t xml:space="preserve">Информация об условиях и характере сделки, </w:t>
      </w:r>
    </w:p>
    <w:p w:rsidR="00B602B3" w:rsidRDefault="00B602B3" w:rsidP="00B602B3">
      <w:pPr>
        <w:pStyle w:val="20"/>
        <w:ind w:firstLine="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сове</w:t>
      </w:r>
      <w:r w:rsidRPr="007018CB">
        <w:rPr>
          <w:b/>
        </w:rPr>
        <w:t>ршенной</w:t>
      </w:r>
      <w:proofErr w:type="gramEnd"/>
      <w:r w:rsidRPr="007018CB">
        <w:rPr>
          <w:b/>
        </w:rPr>
        <w:t xml:space="preserve"> обществом с заинтересованными лицами</w:t>
      </w:r>
      <w:r>
        <w:rPr>
          <w:b/>
        </w:rPr>
        <w:t>.</w:t>
      </w:r>
    </w:p>
    <w:p w:rsidR="00B602B3" w:rsidRPr="00844C2D" w:rsidRDefault="00B602B3" w:rsidP="00CD0DF0">
      <w:pPr>
        <w:pStyle w:val="a4"/>
        <w:ind w:left="284" w:hanging="284"/>
      </w:pPr>
      <w:r>
        <w:t xml:space="preserve"> </w:t>
      </w:r>
      <w:r w:rsidRPr="00844C2D">
        <w:t xml:space="preserve">    Сделок обществом не совершалось.</w:t>
      </w:r>
    </w:p>
    <w:p w:rsidR="00B602B3" w:rsidRPr="007018CB" w:rsidRDefault="00B602B3" w:rsidP="00B602B3">
      <w:pPr>
        <w:pStyle w:val="20"/>
        <w:rPr>
          <w:b/>
        </w:rPr>
      </w:pPr>
      <w:r w:rsidRPr="007018CB">
        <w:rPr>
          <w:b/>
        </w:rPr>
        <w:t xml:space="preserve">  </w:t>
      </w:r>
    </w:p>
    <w:p w:rsidR="00B602B3" w:rsidRDefault="00CD0DF0" w:rsidP="00B60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независимого аудитора  ОсОО </w:t>
      </w:r>
      <w:r w:rsidR="00F1530D">
        <w:rPr>
          <w:b/>
          <w:sz w:val="28"/>
          <w:szCs w:val="28"/>
        </w:rPr>
        <w:t>Аудит фирмы</w:t>
      </w:r>
      <w:r>
        <w:rPr>
          <w:b/>
          <w:sz w:val="28"/>
          <w:szCs w:val="28"/>
        </w:rPr>
        <w:t xml:space="preserve">  «</w:t>
      </w:r>
      <w:r w:rsidR="00F1530D">
        <w:rPr>
          <w:b/>
          <w:sz w:val="28"/>
          <w:szCs w:val="28"/>
        </w:rPr>
        <w:t>Ренессанс</w:t>
      </w:r>
      <w:r>
        <w:rPr>
          <w:b/>
          <w:sz w:val="28"/>
          <w:szCs w:val="28"/>
        </w:rPr>
        <w:t>»  о консолидированной  финансовой отчетности ОАО МУ «Средазэнергомонтаж»</w:t>
      </w:r>
    </w:p>
    <w:p w:rsidR="00D4422A" w:rsidRDefault="00CD0DF0" w:rsidP="00B602B3">
      <w:pPr>
        <w:rPr>
          <w:b/>
        </w:rPr>
      </w:pPr>
      <w:r>
        <w:rPr>
          <w:b/>
        </w:rPr>
        <w:t xml:space="preserve">     </w:t>
      </w:r>
    </w:p>
    <w:p w:rsidR="00CD0DF0" w:rsidRPr="00CD0DF0" w:rsidRDefault="00CD0DF0" w:rsidP="00B602B3">
      <w:r>
        <w:t xml:space="preserve"> </w:t>
      </w:r>
      <w:r w:rsidR="009B31F8">
        <w:t xml:space="preserve">    </w:t>
      </w:r>
      <w:r>
        <w:t xml:space="preserve">    </w:t>
      </w:r>
      <w:proofErr w:type="gramStart"/>
      <w:r w:rsidRPr="00CD0DF0">
        <w:t>Мы</w:t>
      </w:r>
      <w:r w:rsidR="00AC35F0">
        <w:t>, ОсОО «Аудиторская компания «Ренессанс»,</w:t>
      </w:r>
      <w:r>
        <w:t xml:space="preserve"> провели аудит </w:t>
      </w:r>
      <w:r w:rsidR="00AC35F0">
        <w:t xml:space="preserve">прилагаемой </w:t>
      </w:r>
      <w:r>
        <w:t>финансовой отчетности ОАО Монтажное управление «Средазэнергомонтаж»,</w:t>
      </w:r>
      <w:r w:rsidR="008B0B07">
        <w:t xml:space="preserve"> </w:t>
      </w:r>
      <w:r w:rsidR="00AC35F0">
        <w:t xml:space="preserve">которая включает </w:t>
      </w:r>
      <w:r>
        <w:t xml:space="preserve"> Отчет о финансовом положении</w:t>
      </w:r>
      <w:r w:rsidR="00AC35F0">
        <w:t xml:space="preserve"> (Баланс) </w:t>
      </w:r>
      <w:r>
        <w:t xml:space="preserve"> по состоянию на 31 декабря 20</w:t>
      </w:r>
      <w:r w:rsidR="009B31F8">
        <w:t>2</w:t>
      </w:r>
      <w:r w:rsidR="008C3BD8">
        <w:t>3</w:t>
      </w:r>
      <w:r>
        <w:t xml:space="preserve"> г., </w:t>
      </w:r>
      <w:r w:rsidR="00D4422A">
        <w:t>О</w:t>
      </w:r>
      <w:r>
        <w:t>тчет о совокупном доходе</w:t>
      </w:r>
      <w:r w:rsidR="00F46578">
        <w:t xml:space="preserve">, </w:t>
      </w:r>
      <w:r w:rsidR="008B0B07">
        <w:t>О</w:t>
      </w:r>
      <w:r w:rsidR="00F46578">
        <w:t>тчет об изменениях в собственном капитале  и</w:t>
      </w:r>
      <w:r w:rsidR="00AC35F0">
        <w:t xml:space="preserve"> </w:t>
      </w:r>
      <w:r w:rsidR="00F46578">
        <w:t xml:space="preserve"> </w:t>
      </w:r>
      <w:r w:rsidR="00D4422A">
        <w:t>О</w:t>
      </w:r>
      <w:r w:rsidR="00F46578">
        <w:t>тчет</w:t>
      </w:r>
      <w:r w:rsidR="00AC35F0">
        <w:t xml:space="preserve"> </w:t>
      </w:r>
      <w:r w:rsidR="00F46578">
        <w:t xml:space="preserve"> о движении денежных средств за год, закончившийся на указанную дату, а также </w:t>
      </w:r>
      <w:r w:rsidR="00AC35F0">
        <w:t xml:space="preserve">краткое изложение основных принципов </w:t>
      </w:r>
      <w:r w:rsidR="00F46578">
        <w:t xml:space="preserve"> учетной политики</w:t>
      </w:r>
      <w:r w:rsidR="00AC35F0">
        <w:t xml:space="preserve"> и прочую</w:t>
      </w:r>
      <w:proofErr w:type="gramEnd"/>
      <w:r w:rsidR="00AC35F0">
        <w:t xml:space="preserve"> пояснительную информацию.</w:t>
      </w:r>
      <w:r w:rsidR="00F46578">
        <w:t xml:space="preserve"> </w:t>
      </w:r>
    </w:p>
    <w:p w:rsidR="00F46578" w:rsidRDefault="00F46578" w:rsidP="00F46578">
      <w:pPr>
        <w:ind w:hanging="567"/>
        <w:rPr>
          <w:sz w:val="22"/>
          <w:szCs w:val="22"/>
        </w:rPr>
      </w:pPr>
      <w:r>
        <w:rPr>
          <w:b/>
        </w:rPr>
        <w:t xml:space="preserve">          </w:t>
      </w:r>
      <w:r w:rsidR="009B31F8">
        <w:rPr>
          <w:b/>
        </w:rPr>
        <w:t xml:space="preserve">      </w:t>
      </w:r>
      <w:r>
        <w:rPr>
          <w:b/>
        </w:rPr>
        <w:t xml:space="preserve"> </w:t>
      </w:r>
      <w:r>
        <w:rPr>
          <w:sz w:val="22"/>
          <w:szCs w:val="22"/>
        </w:rPr>
        <w:t xml:space="preserve">По нашему  мнению, </w:t>
      </w:r>
      <w:r w:rsidR="00D4422A">
        <w:rPr>
          <w:sz w:val="22"/>
          <w:szCs w:val="22"/>
        </w:rPr>
        <w:t>прилагаемая</w:t>
      </w:r>
      <w:r>
        <w:rPr>
          <w:sz w:val="22"/>
          <w:szCs w:val="22"/>
        </w:rPr>
        <w:t xml:space="preserve"> Финансовая отчетность </w:t>
      </w:r>
      <w:r w:rsidR="00AC35F0">
        <w:rPr>
          <w:sz w:val="22"/>
          <w:szCs w:val="22"/>
        </w:rPr>
        <w:t xml:space="preserve">представляет справедливо во всех </w:t>
      </w:r>
      <w:r>
        <w:rPr>
          <w:sz w:val="22"/>
          <w:szCs w:val="22"/>
        </w:rPr>
        <w:t xml:space="preserve">   существенных аспектах финансовое положении ОАО МУ «САЭМ» по состоянию на 31 декабря 20</w:t>
      </w:r>
      <w:r w:rsidR="009B31F8">
        <w:rPr>
          <w:sz w:val="22"/>
          <w:szCs w:val="22"/>
        </w:rPr>
        <w:t>2</w:t>
      </w:r>
      <w:r w:rsidR="008C3BD8">
        <w:rPr>
          <w:sz w:val="22"/>
          <w:szCs w:val="22"/>
        </w:rPr>
        <w:t>3</w:t>
      </w:r>
      <w:r>
        <w:rPr>
          <w:sz w:val="22"/>
          <w:szCs w:val="22"/>
        </w:rPr>
        <w:t xml:space="preserve"> года, а также ее финансовые результаты и  движение денежных </w:t>
      </w:r>
      <w:r w:rsidR="008B0B07">
        <w:rPr>
          <w:sz w:val="22"/>
          <w:szCs w:val="22"/>
        </w:rPr>
        <w:t xml:space="preserve"> средств за год,</w:t>
      </w:r>
      <w:r>
        <w:rPr>
          <w:sz w:val="22"/>
          <w:szCs w:val="22"/>
        </w:rPr>
        <w:t xml:space="preserve">                                                   закончившейся на указанную дату, в соответствии с </w:t>
      </w:r>
      <w:r w:rsidR="00D4422A">
        <w:rPr>
          <w:sz w:val="22"/>
          <w:szCs w:val="22"/>
        </w:rPr>
        <w:t>Международными стандартами финансовой отчетности  (</w:t>
      </w:r>
      <w:r>
        <w:rPr>
          <w:sz w:val="22"/>
          <w:szCs w:val="22"/>
        </w:rPr>
        <w:t>МСФО</w:t>
      </w:r>
      <w:r w:rsidR="00D4422A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602B3" w:rsidRPr="00CD0DF0" w:rsidRDefault="00B602B3" w:rsidP="00B602B3">
      <w:pPr>
        <w:rPr>
          <w:b/>
        </w:rPr>
      </w:pPr>
    </w:p>
    <w:p w:rsidR="00B602B3" w:rsidRPr="00CD0DF0" w:rsidRDefault="00B602B3" w:rsidP="00B602B3">
      <w:pPr>
        <w:rPr>
          <w:b/>
        </w:rPr>
      </w:pPr>
    </w:p>
    <w:p w:rsidR="00B602B3" w:rsidRPr="00CD0DF0" w:rsidRDefault="00B602B3" w:rsidP="00B602B3">
      <w:pPr>
        <w:rPr>
          <w:b/>
        </w:rPr>
      </w:pPr>
    </w:p>
    <w:p w:rsidR="00B602B3" w:rsidRDefault="00B602B3" w:rsidP="00B602B3">
      <w:pPr>
        <w:rPr>
          <w:b/>
          <w:sz w:val="28"/>
          <w:szCs w:val="28"/>
        </w:rPr>
      </w:pPr>
    </w:p>
    <w:p w:rsidR="00B602B3" w:rsidRDefault="00B602B3" w:rsidP="00B602B3">
      <w:pPr>
        <w:rPr>
          <w:b/>
          <w:sz w:val="28"/>
          <w:szCs w:val="28"/>
        </w:rPr>
      </w:pPr>
    </w:p>
    <w:p w:rsidR="00B602B3" w:rsidRPr="00736ADF" w:rsidRDefault="00B602B3" w:rsidP="00B602B3">
      <w:pPr>
        <w:ind w:left="360" w:hanging="360"/>
      </w:pPr>
      <w:r>
        <w:rPr>
          <w:sz w:val="28"/>
          <w:szCs w:val="28"/>
        </w:rPr>
        <w:t xml:space="preserve">   </w:t>
      </w:r>
      <w:r w:rsidR="00134D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73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36ADF">
        <w:t xml:space="preserve">Директор                                                           </w:t>
      </w:r>
      <w:proofErr w:type="spellStart"/>
      <w:r w:rsidR="00645D76">
        <w:t>Тавашаров</w:t>
      </w:r>
      <w:proofErr w:type="spellEnd"/>
      <w:r w:rsidR="00645D76">
        <w:t xml:space="preserve"> Э.К.</w:t>
      </w:r>
    </w:p>
    <w:p w:rsidR="00B602B3" w:rsidRPr="00736ADF" w:rsidRDefault="00B602B3" w:rsidP="00B602B3">
      <w:pPr>
        <w:ind w:left="360" w:hanging="360"/>
      </w:pPr>
    </w:p>
    <w:p w:rsidR="00B602B3" w:rsidRPr="00736ADF" w:rsidRDefault="00B602B3" w:rsidP="00B602B3">
      <w:pPr>
        <w:ind w:left="360" w:hanging="360"/>
      </w:pPr>
    </w:p>
    <w:p w:rsidR="00B602B3" w:rsidRPr="00736ADF" w:rsidRDefault="00B602B3" w:rsidP="00B602B3">
      <w:pPr>
        <w:ind w:left="360" w:hanging="360"/>
      </w:pP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  <w:r w:rsidRPr="00736ADF">
        <w:t xml:space="preserve">      </w:t>
      </w:r>
      <w:r w:rsidR="008C3BD8">
        <w:t xml:space="preserve">                  </w:t>
      </w:r>
      <w:r w:rsidRPr="00736ADF">
        <w:t xml:space="preserve">  Главный бухгалтер      </w:t>
      </w:r>
      <w:proofErr w:type="gramStart"/>
      <w:r w:rsidR="00736ADF">
        <w:t xml:space="preserve">( </w:t>
      </w:r>
      <w:proofErr w:type="gramEnd"/>
      <w:r w:rsidR="00736ADF">
        <w:t>не предусмотрен )</w:t>
      </w:r>
      <w:r w:rsidRPr="00736ADF">
        <w:t xml:space="preserve">                                      </w:t>
      </w: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</w:p>
    <w:p w:rsidR="00B602B3" w:rsidRPr="00FB7D28" w:rsidRDefault="00B602B3" w:rsidP="00B602B3">
      <w:pPr>
        <w:ind w:left="360" w:hanging="360"/>
        <w:rPr>
          <w:sz w:val="28"/>
          <w:szCs w:val="28"/>
        </w:rPr>
      </w:pPr>
    </w:p>
    <w:p w:rsidR="00B602B3" w:rsidRDefault="00B602B3" w:rsidP="00B602B3"/>
    <w:p w:rsidR="00B602B3" w:rsidRPr="00FB7D28" w:rsidRDefault="00B602B3" w:rsidP="000E4C66">
      <w:pPr>
        <w:ind w:left="360" w:hanging="360"/>
        <w:rPr>
          <w:sz w:val="28"/>
          <w:szCs w:val="28"/>
        </w:rPr>
      </w:pPr>
    </w:p>
    <w:sectPr w:rsidR="00B602B3" w:rsidRPr="00FB7D28" w:rsidSect="009F6BE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0A7"/>
    <w:multiLevelType w:val="hybridMultilevel"/>
    <w:tmpl w:val="CB1A5356"/>
    <w:lvl w:ilvl="0" w:tplc="6DF60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F1528BA"/>
    <w:multiLevelType w:val="hybridMultilevel"/>
    <w:tmpl w:val="A7DAC17E"/>
    <w:lvl w:ilvl="0" w:tplc="440A8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207C1F"/>
    <w:multiLevelType w:val="hybridMultilevel"/>
    <w:tmpl w:val="BC40681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665B12"/>
    <w:multiLevelType w:val="hybridMultilevel"/>
    <w:tmpl w:val="735E489E"/>
    <w:lvl w:ilvl="0" w:tplc="F63286E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8AF5D29"/>
    <w:multiLevelType w:val="hybridMultilevel"/>
    <w:tmpl w:val="98FC7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4F94"/>
    <w:multiLevelType w:val="hybridMultilevel"/>
    <w:tmpl w:val="9CA29F74"/>
    <w:lvl w:ilvl="0" w:tplc="69D20B6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3897E21"/>
    <w:multiLevelType w:val="hybridMultilevel"/>
    <w:tmpl w:val="FDAC456C"/>
    <w:lvl w:ilvl="0" w:tplc="30FE057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9A2268"/>
    <w:multiLevelType w:val="hybridMultilevel"/>
    <w:tmpl w:val="764CC2A2"/>
    <w:lvl w:ilvl="0" w:tplc="7F08D1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6BEE"/>
    <w:rsid w:val="00002A52"/>
    <w:rsid w:val="00075D26"/>
    <w:rsid w:val="000842C1"/>
    <w:rsid w:val="0009650B"/>
    <w:rsid w:val="000A19DB"/>
    <w:rsid w:val="000A2909"/>
    <w:rsid w:val="000D5712"/>
    <w:rsid w:val="000E4C66"/>
    <w:rsid w:val="000E7400"/>
    <w:rsid w:val="00103155"/>
    <w:rsid w:val="00105946"/>
    <w:rsid w:val="001139F9"/>
    <w:rsid w:val="00116532"/>
    <w:rsid w:val="00125244"/>
    <w:rsid w:val="00134D23"/>
    <w:rsid w:val="001B3F71"/>
    <w:rsid w:val="001C46F8"/>
    <w:rsid w:val="001C79C2"/>
    <w:rsid w:val="001C7A07"/>
    <w:rsid w:val="00201F11"/>
    <w:rsid w:val="00214D2A"/>
    <w:rsid w:val="00225E5D"/>
    <w:rsid w:val="002524B3"/>
    <w:rsid w:val="0027017B"/>
    <w:rsid w:val="002952C1"/>
    <w:rsid w:val="002A3F05"/>
    <w:rsid w:val="002C257D"/>
    <w:rsid w:val="002C40D6"/>
    <w:rsid w:val="002D4958"/>
    <w:rsid w:val="002E15F9"/>
    <w:rsid w:val="002F417A"/>
    <w:rsid w:val="00322C8C"/>
    <w:rsid w:val="00327E6F"/>
    <w:rsid w:val="00330A0E"/>
    <w:rsid w:val="00346FB2"/>
    <w:rsid w:val="00350B0D"/>
    <w:rsid w:val="00363A33"/>
    <w:rsid w:val="003962A8"/>
    <w:rsid w:val="003C54A4"/>
    <w:rsid w:val="003D302B"/>
    <w:rsid w:val="003F1254"/>
    <w:rsid w:val="003F241D"/>
    <w:rsid w:val="003F7B31"/>
    <w:rsid w:val="00427060"/>
    <w:rsid w:val="00446978"/>
    <w:rsid w:val="00451133"/>
    <w:rsid w:val="00475075"/>
    <w:rsid w:val="00475246"/>
    <w:rsid w:val="00491594"/>
    <w:rsid w:val="004B4A08"/>
    <w:rsid w:val="004B5E15"/>
    <w:rsid w:val="004C4F37"/>
    <w:rsid w:val="004C6385"/>
    <w:rsid w:val="004E27C4"/>
    <w:rsid w:val="00503814"/>
    <w:rsid w:val="00526C55"/>
    <w:rsid w:val="00534877"/>
    <w:rsid w:val="005509C3"/>
    <w:rsid w:val="00554A48"/>
    <w:rsid w:val="00556CA6"/>
    <w:rsid w:val="00595E11"/>
    <w:rsid w:val="005C03EA"/>
    <w:rsid w:val="00606F46"/>
    <w:rsid w:val="00614B66"/>
    <w:rsid w:val="00616821"/>
    <w:rsid w:val="00620458"/>
    <w:rsid w:val="006207E7"/>
    <w:rsid w:val="00645A13"/>
    <w:rsid w:val="00645D76"/>
    <w:rsid w:val="006916F8"/>
    <w:rsid w:val="00695C30"/>
    <w:rsid w:val="006B401C"/>
    <w:rsid w:val="006D05EF"/>
    <w:rsid w:val="006D0CB2"/>
    <w:rsid w:val="006D2E8D"/>
    <w:rsid w:val="006D330D"/>
    <w:rsid w:val="006D5A9D"/>
    <w:rsid w:val="006F7DA3"/>
    <w:rsid w:val="00700F63"/>
    <w:rsid w:val="007218F9"/>
    <w:rsid w:val="0072202D"/>
    <w:rsid w:val="00724277"/>
    <w:rsid w:val="00736ADF"/>
    <w:rsid w:val="007408C1"/>
    <w:rsid w:val="00771F49"/>
    <w:rsid w:val="00785F4B"/>
    <w:rsid w:val="007C041F"/>
    <w:rsid w:val="0082584D"/>
    <w:rsid w:val="00837E18"/>
    <w:rsid w:val="00844C2D"/>
    <w:rsid w:val="00846C25"/>
    <w:rsid w:val="00852C09"/>
    <w:rsid w:val="00853BF3"/>
    <w:rsid w:val="008637D3"/>
    <w:rsid w:val="00885CB9"/>
    <w:rsid w:val="008912F5"/>
    <w:rsid w:val="008A2056"/>
    <w:rsid w:val="008B0B07"/>
    <w:rsid w:val="008C3BD8"/>
    <w:rsid w:val="008D6F0A"/>
    <w:rsid w:val="008E09D5"/>
    <w:rsid w:val="008F6C50"/>
    <w:rsid w:val="0091449C"/>
    <w:rsid w:val="00917191"/>
    <w:rsid w:val="00925DD6"/>
    <w:rsid w:val="00932A76"/>
    <w:rsid w:val="009719F4"/>
    <w:rsid w:val="009A06A0"/>
    <w:rsid w:val="009A08F5"/>
    <w:rsid w:val="009A427B"/>
    <w:rsid w:val="009B31F8"/>
    <w:rsid w:val="009C7890"/>
    <w:rsid w:val="009F6BEE"/>
    <w:rsid w:val="00A04C3E"/>
    <w:rsid w:val="00A13803"/>
    <w:rsid w:val="00A85F3F"/>
    <w:rsid w:val="00AA059C"/>
    <w:rsid w:val="00AC35F0"/>
    <w:rsid w:val="00AE3003"/>
    <w:rsid w:val="00AF6D36"/>
    <w:rsid w:val="00B067C1"/>
    <w:rsid w:val="00B077E0"/>
    <w:rsid w:val="00B256F2"/>
    <w:rsid w:val="00B44AE8"/>
    <w:rsid w:val="00B602B3"/>
    <w:rsid w:val="00BA43EE"/>
    <w:rsid w:val="00BB415E"/>
    <w:rsid w:val="00BD068F"/>
    <w:rsid w:val="00BE662B"/>
    <w:rsid w:val="00C019A5"/>
    <w:rsid w:val="00C01C63"/>
    <w:rsid w:val="00C242CB"/>
    <w:rsid w:val="00C426BD"/>
    <w:rsid w:val="00C922C2"/>
    <w:rsid w:val="00C95541"/>
    <w:rsid w:val="00C97717"/>
    <w:rsid w:val="00C97F9E"/>
    <w:rsid w:val="00CB0959"/>
    <w:rsid w:val="00CB1E9B"/>
    <w:rsid w:val="00CB67A3"/>
    <w:rsid w:val="00CC06D4"/>
    <w:rsid w:val="00CC50ED"/>
    <w:rsid w:val="00CD0DF0"/>
    <w:rsid w:val="00CE643C"/>
    <w:rsid w:val="00CF743A"/>
    <w:rsid w:val="00D01F7E"/>
    <w:rsid w:val="00D04101"/>
    <w:rsid w:val="00D4422A"/>
    <w:rsid w:val="00D4563F"/>
    <w:rsid w:val="00D62B8B"/>
    <w:rsid w:val="00D84DD6"/>
    <w:rsid w:val="00DA2ECB"/>
    <w:rsid w:val="00DB31FE"/>
    <w:rsid w:val="00DB7AC6"/>
    <w:rsid w:val="00DC1CB1"/>
    <w:rsid w:val="00DC6B29"/>
    <w:rsid w:val="00DD245C"/>
    <w:rsid w:val="00DD585A"/>
    <w:rsid w:val="00DE53F7"/>
    <w:rsid w:val="00E03279"/>
    <w:rsid w:val="00E216CD"/>
    <w:rsid w:val="00E41513"/>
    <w:rsid w:val="00E45E26"/>
    <w:rsid w:val="00E60FDE"/>
    <w:rsid w:val="00E67238"/>
    <w:rsid w:val="00E75466"/>
    <w:rsid w:val="00E77F49"/>
    <w:rsid w:val="00E85921"/>
    <w:rsid w:val="00E969E0"/>
    <w:rsid w:val="00EB4CC4"/>
    <w:rsid w:val="00EB55CA"/>
    <w:rsid w:val="00EC553D"/>
    <w:rsid w:val="00EE0818"/>
    <w:rsid w:val="00EE4CC5"/>
    <w:rsid w:val="00F1530D"/>
    <w:rsid w:val="00F20A62"/>
    <w:rsid w:val="00F22B59"/>
    <w:rsid w:val="00F26FCB"/>
    <w:rsid w:val="00F46578"/>
    <w:rsid w:val="00F8301C"/>
    <w:rsid w:val="00F95191"/>
    <w:rsid w:val="00FA4360"/>
    <w:rsid w:val="00FA5FFA"/>
    <w:rsid w:val="00FB4EA9"/>
    <w:rsid w:val="00FB7D28"/>
    <w:rsid w:val="00FD7D2D"/>
    <w:rsid w:val="00FE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BEE"/>
    <w:rPr>
      <w:sz w:val="24"/>
      <w:szCs w:val="24"/>
    </w:rPr>
  </w:style>
  <w:style w:type="paragraph" w:styleId="2">
    <w:name w:val="heading 2"/>
    <w:basedOn w:val="a"/>
    <w:next w:val="a"/>
    <w:qFormat/>
    <w:rsid w:val="009F6BE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97717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C97717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214D2A"/>
    <w:pPr>
      <w:ind w:left="720"/>
      <w:contextualSpacing/>
    </w:pPr>
  </w:style>
  <w:style w:type="paragraph" w:styleId="a7">
    <w:name w:val="caption"/>
    <w:basedOn w:val="a"/>
    <w:qFormat/>
    <w:rsid w:val="00736ADF"/>
    <w:pPr>
      <w:jc w:val="center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2056"/>
    <w:rPr>
      <w:sz w:val="24"/>
      <w:szCs w:val="24"/>
    </w:rPr>
  </w:style>
  <w:style w:type="paragraph" w:styleId="a8">
    <w:name w:val="Title"/>
    <w:basedOn w:val="a"/>
    <w:link w:val="a9"/>
    <w:qFormat/>
    <w:rsid w:val="00E4151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4151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332D-4DEF-4D31-9EE4-AABE4A93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Перечень краткой информации, раскрываемой эмитентом</vt:lpstr>
    </vt:vector>
  </TitlesOfParts>
  <Company>Home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Перечень краткой информации, раскрываемой эмитентом</dc:title>
  <dc:subject/>
  <dc:creator>USER</dc:creator>
  <cp:keywords/>
  <dc:description/>
  <cp:lastModifiedBy>Admin</cp:lastModifiedBy>
  <cp:revision>22</cp:revision>
  <cp:lastPrinted>2024-04-23T01:39:00Z</cp:lastPrinted>
  <dcterms:created xsi:type="dcterms:W3CDTF">2011-07-26T01:52:00Z</dcterms:created>
  <dcterms:modified xsi:type="dcterms:W3CDTF">2024-04-23T02:54:00Z</dcterms:modified>
</cp:coreProperties>
</file>